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776" w:type="dxa"/>
        <w:tblInd w:w="0" w:type="dxa"/>
        <w:tblLayout w:type="fixed"/>
        <w:tblCellMar>
          <w:top w:w="15" w:type="dxa"/>
          <w:left w:w="15" w:type="dxa"/>
          <w:bottom w:w="15" w:type="dxa"/>
          <w:right w:w="15" w:type="dxa"/>
        </w:tblCellMar>
      </w:tblPr>
      <w:tblGrid>
        <w:gridCol w:w="1114"/>
        <w:gridCol w:w="530"/>
        <w:gridCol w:w="7016"/>
        <w:gridCol w:w="158"/>
        <w:gridCol w:w="958"/>
      </w:tblGrid>
      <w:tr>
        <w:tblPrEx>
          <w:tblLayout w:type="fixed"/>
          <w:tblCellMar>
            <w:top w:w="15" w:type="dxa"/>
            <w:left w:w="15" w:type="dxa"/>
            <w:bottom w:w="15" w:type="dxa"/>
            <w:right w:w="15" w:type="dxa"/>
          </w:tblCellMar>
        </w:tblPrEx>
        <w:trPr>
          <w:trHeight w:val="577" w:hRule="atLeast"/>
        </w:trPr>
        <w:tc>
          <w:tcPr>
            <w:tcW w:w="97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8"/>
                <w:szCs w:val="28"/>
              </w:rPr>
            </w:pPr>
            <w:r>
              <w:rPr>
                <w:rFonts w:hint="eastAsia" w:ascii="宋体" w:hAnsi="宋体" w:eastAsia="宋体" w:cs="宋体"/>
                <w:b/>
                <w:color w:val="000000"/>
                <w:kern w:val="0"/>
                <w:sz w:val="28"/>
                <w:szCs w:val="28"/>
              </w:rPr>
              <w:t>用户需求书</w:t>
            </w:r>
          </w:p>
        </w:tc>
      </w:tr>
      <w:tr>
        <w:tblPrEx>
          <w:tblLayout w:type="fixed"/>
          <w:tblCellMar>
            <w:top w:w="15" w:type="dxa"/>
            <w:left w:w="15" w:type="dxa"/>
            <w:bottom w:w="15" w:type="dxa"/>
            <w:right w:w="15" w:type="dxa"/>
          </w:tblCellMar>
        </w:tblPrEx>
        <w:trPr>
          <w:trHeight w:val="90" w:hRule="atLeast"/>
        </w:trPr>
        <w:tc>
          <w:tcPr>
            <w:tcW w:w="97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一、服务范围</w:t>
            </w:r>
            <w:r>
              <w:rPr>
                <w:rFonts w:hint="eastAsia" w:ascii="宋体" w:hAnsi="宋体" w:eastAsia="宋体" w:cs="宋体"/>
                <w:b/>
                <w:color w:val="000000"/>
                <w:kern w:val="0"/>
                <w:sz w:val="24"/>
                <w:lang w:eastAsia="zh-CN"/>
              </w:rPr>
              <w:t>、预算价</w:t>
            </w:r>
            <w:r>
              <w:rPr>
                <w:rFonts w:hint="eastAsia" w:ascii="宋体" w:hAnsi="宋体" w:eastAsia="宋体" w:cs="宋体"/>
                <w:b/>
                <w:color w:val="000000"/>
                <w:kern w:val="0"/>
                <w:sz w:val="24"/>
              </w:rPr>
              <w:t>及服务期</w:t>
            </w:r>
          </w:p>
        </w:tc>
      </w:tr>
      <w:tr>
        <w:tblPrEx>
          <w:tblLayout w:type="fixed"/>
          <w:tblCellMar>
            <w:top w:w="15" w:type="dxa"/>
            <w:left w:w="15" w:type="dxa"/>
            <w:bottom w:w="15" w:type="dxa"/>
            <w:right w:w="15" w:type="dxa"/>
          </w:tblCellMar>
        </w:tblPrEx>
        <w:trPr>
          <w:trHeight w:val="90"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color w:val="000000"/>
                <w:kern w:val="0"/>
                <w:sz w:val="24"/>
              </w:rPr>
            </w:pPr>
            <w:r>
              <w:rPr>
                <w:rFonts w:hint="eastAsia" w:ascii="宋体" w:hAnsi="宋体" w:eastAsia="宋体" w:cs="宋体"/>
                <w:b/>
                <w:color w:val="000000"/>
                <w:kern w:val="0"/>
                <w:sz w:val="24"/>
              </w:rPr>
              <w:t>1</w:t>
            </w:r>
          </w:p>
          <w:p>
            <w:pPr>
              <w:widowControl/>
              <w:jc w:val="center"/>
              <w:textAlignment w:val="center"/>
              <w:rPr>
                <w:rFonts w:ascii="宋体" w:hAnsi="宋体" w:eastAsia="宋体" w:cs="宋体"/>
                <w:b/>
                <w:color w:val="000000"/>
                <w:sz w:val="24"/>
              </w:rPr>
            </w:pPr>
          </w:p>
        </w:tc>
        <w:tc>
          <w:tcPr>
            <w:tcW w:w="71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eastAsia="zh-CN"/>
              </w:rPr>
              <w:t>服务范围：</w:t>
            </w:r>
            <w:r>
              <w:rPr>
                <w:rFonts w:hint="eastAsia" w:ascii="宋体" w:hAnsi="宋体" w:eastAsia="宋体" w:cs="宋体"/>
                <w:color w:val="000000"/>
                <w:kern w:val="0"/>
                <w:sz w:val="24"/>
              </w:rPr>
              <w:t>医院手术室、外ICU、内ICU、输血科、病理科、产房、PICU、NICU、检验科、供应室、筛查中心、烧伤科。</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p>
        </w:tc>
        <w:tc>
          <w:tcPr>
            <w:tcW w:w="71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全院洁净区域、辅助非洁净区域、相关洁净空调机房等区域。</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p>
        </w:tc>
        <w:tc>
          <w:tcPr>
            <w:tcW w:w="71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洁净设备保养、维修、系统监控、检测、系统安全运行、洁净空调系统、管道等。</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color w:val="000000"/>
                <w:kern w:val="0"/>
                <w:sz w:val="24"/>
                <w:lang w:eastAsia="zh-CN"/>
              </w:rPr>
            </w:pPr>
            <w:r>
              <w:rPr>
                <w:rFonts w:hint="eastAsia" w:ascii="宋体" w:hAnsi="宋体" w:eastAsia="宋体" w:cs="宋体"/>
                <w:b/>
                <w:color w:val="000000"/>
                <w:kern w:val="0"/>
                <w:sz w:val="24"/>
                <w:lang w:val="en-US" w:eastAsia="zh-CN"/>
              </w:rPr>
              <w:t>2</w:t>
            </w:r>
          </w:p>
        </w:tc>
        <w:tc>
          <w:tcPr>
            <w:tcW w:w="71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服务期：三个月。</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652" w:hRule="atLeast"/>
        </w:trPr>
        <w:tc>
          <w:tcPr>
            <w:tcW w:w="1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rPr>
            </w:pPr>
            <w:r>
              <w:rPr>
                <w:rFonts w:hint="eastAsia" w:ascii="宋体" w:hAnsi="宋体" w:eastAsia="宋体" w:cs="宋体"/>
                <w:b/>
                <w:color w:val="000000"/>
                <w:kern w:val="0"/>
                <w:sz w:val="24"/>
                <w:lang w:val="en-US" w:eastAsia="zh-CN"/>
              </w:rPr>
              <w:t xml:space="preserve">         3</w:t>
            </w:r>
          </w:p>
        </w:tc>
        <w:tc>
          <w:tcPr>
            <w:tcW w:w="71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hint="eastAsia" w:ascii="宋体" w:hAnsi="宋体" w:eastAsia="宋体" w:cs="宋体"/>
                <w:b w:val="0"/>
                <w:bCs/>
                <w:color w:val="000000"/>
                <w:kern w:val="0"/>
                <w:sz w:val="24"/>
                <w:lang w:val="en-US" w:eastAsia="zh-CN"/>
              </w:rPr>
            </w:pPr>
            <w:r>
              <w:rPr>
                <w:rFonts w:hint="eastAsia" w:ascii="宋体" w:hAnsi="宋体" w:eastAsia="宋体" w:cs="宋体"/>
                <w:b w:val="0"/>
                <w:bCs/>
                <w:color w:val="000000"/>
                <w:kern w:val="0"/>
                <w:sz w:val="24"/>
                <w:lang w:eastAsia="zh-CN"/>
              </w:rPr>
              <w:t>洁净空调维保服务预算总价：（大写）贰拾玖万肆仟元（￥</w:t>
            </w:r>
            <w:r>
              <w:rPr>
                <w:rFonts w:hint="eastAsia" w:ascii="宋体" w:hAnsi="宋体" w:eastAsia="宋体" w:cs="宋体"/>
                <w:b w:val="0"/>
                <w:bCs/>
                <w:color w:val="000000"/>
                <w:kern w:val="0"/>
                <w:sz w:val="24"/>
                <w:lang w:val="en-US" w:eastAsia="zh-CN"/>
              </w:rPr>
              <w:t>294000元)</w:t>
            </w:r>
          </w:p>
          <w:p>
            <w:pPr>
              <w:widowControl/>
              <w:jc w:val="both"/>
              <w:textAlignment w:val="center"/>
              <w:rPr>
                <w:rFonts w:hint="eastAsia" w:ascii="宋体" w:hAnsi="宋体" w:eastAsia="宋体" w:cs="宋体"/>
                <w:b w:val="0"/>
                <w:bCs/>
                <w:color w:val="000000"/>
                <w:kern w:val="0"/>
                <w:sz w:val="24"/>
                <w:lang w:val="en-US" w:eastAsia="zh-CN"/>
              </w:rPr>
            </w:pPr>
            <w:r>
              <w:rPr>
                <w:rFonts w:hint="eastAsia" w:ascii="宋体" w:hAnsi="宋体" w:eastAsia="宋体" w:cs="宋体"/>
                <w:b w:val="0"/>
                <w:bCs/>
                <w:color w:val="000000"/>
                <w:kern w:val="0"/>
                <w:sz w:val="24"/>
                <w:lang w:val="en-US" w:eastAsia="zh-CN"/>
              </w:rPr>
              <w:t>洁净空调过滤器352个预算总价：（大写）柒万伍仟元（</w:t>
            </w:r>
            <w:r>
              <w:rPr>
                <w:rFonts w:hint="eastAsia" w:ascii="宋体" w:hAnsi="宋体" w:eastAsia="宋体" w:cs="宋体"/>
                <w:b w:val="0"/>
                <w:bCs/>
                <w:color w:val="000000"/>
                <w:kern w:val="0"/>
                <w:sz w:val="24"/>
                <w:lang w:eastAsia="zh-CN"/>
              </w:rPr>
              <w:t>￥</w:t>
            </w:r>
            <w:r>
              <w:rPr>
                <w:rFonts w:hint="eastAsia" w:ascii="宋体" w:hAnsi="宋体" w:eastAsia="宋体" w:cs="宋体"/>
                <w:b w:val="0"/>
                <w:bCs/>
                <w:color w:val="000000"/>
                <w:kern w:val="0"/>
                <w:sz w:val="24"/>
                <w:lang w:val="en-US" w:eastAsia="zh-CN"/>
              </w:rPr>
              <w:t>75000元）</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color w:val="000000"/>
                <w:kern w:val="0"/>
                <w:sz w:val="24"/>
              </w:rPr>
            </w:pPr>
          </w:p>
        </w:tc>
      </w:tr>
      <w:tr>
        <w:tblPrEx>
          <w:tblLayout w:type="fixed"/>
          <w:tblCellMar>
            <w:top w:w="15" w:type="dxa"/>
            <w:left w:w="15" w:type="dxa"/>
            <w:bottom w:w="15" w:type="dxa"/>
            <w:right w:w="15" w:type="dxa"/>
          </w:tblCellMar>
        </w:tblPrEx>
        <w:trPr>
          <w:trHeight w:val="317" w:hRule="atLeast"/>
        </w:trPr>
        <w:tc>
          <w:tcPr>
            <w:tcW w:w="97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color w:val="000000"/>
                <w:kern w:val="0"/>
                <w:sz w:val="24"/>
                <w:lang w:eastAsia="zh-CN"/>
              </w:rPr>
            </w:pPr>
            <w:r>
              <w:rPr>
                <w:rFonts w:hint="eastAsia" w:ascii="宋体" w:hAnsi="宋体" w:eastAsia="宋体" w:cs="宋体"/>
                <w:b/>
                <w:color w:val="000000"/>
                <w:kern w:val="0"/>
                <w:sz w:val="24"/>
                <w:lang w:eastAsia="zh-CN"/>
              </w:rPr>
              <w:t>注：报价不得超过预算总价，否则作无效投标处理。</w:t>
            </w:r>
          </w:p>
        </w:tc>
      </w:tr>
      <w:tr>
        <w:tblPrEx>
          <w:tblLayout w:type="fixed"/>
          <w:tblCellMar>
            <w:top w:w="15" w:type="dxa"/>
            <w:left w:w="15" w:type="dxa"/>
            <w:bottom w:w="15" w:type="dxa"/>
            <w:right w:w="15" w:type="dxa"/>
          </w:tblCellMar>
        </w:tblPrEx>
        <w:trPr>
          <w:trHeight w:val="285" w:hRule="atLeast"/>
        </w:trPr>
        <w:tc>
          <w:tcPr>
            <w:tcW w:w="97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color w:val="000000"/>
                <w:kern w:val="0"/>
                <w:sz w:val="24"/>
              </w:rPr>
            </w:pPr>
          </w:p>
        </w:tc>
      </w:tr>
      <w:tr>
        <w:tblPrEx>
          <w:tblLayout w:type="fixed"/>
          <w:tblCellMar>
            <w:top w:w="15" w:type="dxa"/>
            <w:left w:w="15" w:type="dxa"/>
            <w:bottom w:w="15" w:type="dxa"/>
            <w:right w:w="15" w:type="dxa"/>
          </w:tblCellMar>
        </w:tblPrEx>
        <w:trPr>
          <w:trHeight w:val="285" w:hRule="atLeast"/>
        </w:trPr>
        <w:tc>
          <w:tcPr>
            <w:tcW w:w="97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二、商务要求（投标人需提供的资质）</w:t>
            </w:r>
          </w:p>
        </w:tc>
      </w:tr>
      <w:tr>
        <w:tblPrEx>
          <w:tblLayout w:type="fixed"/>
          <w:tblCellMar>
            <w:top w:w="15" w:type="dxa"/>
            <w:left w:w="15" w:type="dxa"/>
            <w:bottom w:w="15" w:type="dxa"/>
            <w:right w:w="15" w:type="dxa"/>
          </w:tblCellMar>
        </w:tblPrEx>
        <w:trPr>
          <w:trHeight w:val="90"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1</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企业营业执照、税务登记证、组织机构代码证（以上资料复印件加盖公章）（若报价人已办理三证合一，则只需提供营业执照）。</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2</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洁净行业企业资质等级证书壹级、</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3</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安全生产许可证、</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4</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医疗器械经营许可证、</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5</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质量管理体系认证证书、</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24"/>
              </w:rPr>
              <w:t>6</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职业健康安全管理体系认证证书、</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7</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环境管理体系认证证书、</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8</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高新技术企业证书、</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99"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9</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电子与智能化工程专业贰级、</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10</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建筑机电安装工程专业贰级、</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11</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建筑装饰装修工 程专业承包贰级、</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12</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建筑装饰工程设计专项资质乙级、</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13</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电子与智能化工程设计专项资质乙级、</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97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三、维保依据</w:t>
            </w:r>
          </w:p>
        </w:tc>
      </w:tr>
      <w:tr>
        <w:tblPrEx>
          <w:tblLayout w:type="fixed"/>
          <w:tblCellMar>
            <w:top w:w="15" w:type="dxa"/>
            <w:left w:w="15" w:type="dxa"/>
            <w:bottom w:w="15" w:type="dxa"/>
            <w:right w:w="15" w:type="dxa"/>
          </w:tblCellMar>
        </w:tblPrEx>
        <w:trPr>
          <w:trHeight w:val="90"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75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24"/>
              </w:rPr>
            </w:pPr>
            <w:r>
              <w:rPr>
                <w:rFonts w:hint="eastAsia" w:ascii="宋体" w:hAnsi="宋体" w:eastAsia="宋体" w:cs="宋体"/>
                <w:b/>
                <w:color w:val="000000"/>
                <w:kern w:val="0"/>
                <w:sz w:val="24"/>
              </w:rPr>
              <w:t>洁净室的维保依据</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1</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《采暖通风与空气调节设计规范》GBJ50019-2003</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2</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《洁净生物安全实验室技术规范》</w:t>
            </w:r>
            <w:r>
              <w:rPr>
                <w:rFonts w:ascii="Calibri" w:hAnsi="Calibri" w:eastAsia="宋体" w:cs="Calibri"/>
                <w:color w:val="000000"/>
                <w:kern w:val="0"/>
                <w:sz w:val="24"/>
              </w:rPr>
              <w:t>GB50346-2004</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3</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《洁净室与相关受控环境－生物污染控制》</w:t>
            </w:r>
            <w:r>
              <w:rPr>
                <w:rFonts w:ascii="Calibri" w:hAnsi="Calibri" w:eastAsia="宋体" w:cs="Calibri"/>
                <w:color w:val="000000"/>
                <w:kern w:val="0"/>
                <w:sz w:val="24"/>
              </w:rPr>
              <w:t>ISO14698-2</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4</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《高效空气过滤器》</w:t>
            </w:r>
            <w:r>
              <w:rPr>
                <w:rFonts w:ascii="Calibri" w:hAnsi="Calibri" w:eastAsia="宋体" w:cs="Calibri"/>
                <w:color w:val="000000"/>
                <w:kern w:val="0"/>
                <w:sz w:val="24"/>
              </w:rPr>
              <w:t>GB/T13554-92</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5</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《空气过滤器》</w:t>
            </w:r>
            <w:r>
              <w:rPr>
                <w:rFonts w:ascii="Calibri" w:hAnsi="Calibri" w:eastAsia="宋体" w:cs="Calibri"/>
                <w:color w:val="000000"/>
                <w:kern w:val="0"/>
                <w:sz w:val="24"/>
              </w:rPr>
              <w:t>GB/T 14295-93</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6</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《公共场所集中空调通风系统卫生规范》</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7</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《公共卫生消毒守则》</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b/>
                <w:color w:val="000000"/>
                <w:sz w:val="24"/>
              </w:rPr>
            </w:pPr>
          </w:p>
        </w:tc>
        <w:tc>
          <w:tcPr>
            <w:tcW w:w="75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24"/>
              </w:rPr>
            </w:pPr>
            <w:r>
              <w:rPr>
                <w:rFonts w:hint="eastAsia" w:ascii="宋体" w:hAnsi="宋体" w:eastAsia="宋体" w:cs="宋体"/>
                <w:b/>
                <w:color w:val="000000"/>
                <w:kern w:val="0"/>
                <w:sz w:val="24"/>
              </w:rPr>
              <w:t>医院建筑维护规范</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1</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综合医院建筑设计规范 （GB51039-2014）</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2</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医院洁净手术部建筑技术规范（GB50333-2013）</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97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四、维保范围</w:t>
            </w:r>
          </w:p>
        </w:tc>
      </w:tr>
      <w:tr>
        <w:tblPrEx>
          <w:tblLayout w:type="fixed"/>
          <w:tblCellMar>
            <w:top w:w="15" w:type="dxa"/>
            <w:left w:w="15" w:type="dxa"/>
            <w:bottom w:w="15" w:type="dxa"/>
            <w:right w:w="15" w:type="dxa"/>
          </w:tblCellMar>
        </w:tblPrEx>
        <w:trPr>
          <w:trHeight w:val="90"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空调主机的维护与保养</w:t>
            </w:r>
          </w:p>
        </w:tc>
        <w:tc>
          <w:tcPr>
            <w:tcW w:w="75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医院手术室、外ICU、内ICU、输血科、病理科、产房、PICU、NICU、检验科、供应室、筛查中心、烧伤科的维护与保养。</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a</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每月检查和清洗空调机组外部冷凝器和蒸发器；</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b</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每天检查空调机组压缩机、风机和风扇是否运转正常，有无异常声音，并每月为电机和风机的轴承加润滑油；</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c</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每天检查空调机组运行压力（高压、低压）是否正常，并适时根据室外环境工况对压力进行适当调节；</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d</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每月检查空调机组的压机油，并检查冷媒是否有泄漏。发现问题，及时处理；</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e</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不定时检查水循环系统的循环水泵的运行情况、水系统的温度指示、运行压力及水流开关与各类阀门的工作情况，并检查膨胀水箱是否能够正常补水；每月一次清洗空调主机外围水系统过滤器和每三个月一次清洗空调机组内部水系统过滤；</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净化空调系统（含新风机组与循环机组）的维护与保养</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a</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月定期检查空气处理机组冷热水盘管的介质循环情况，并及时清洗盘管；检查加湿器是否正常供水，空气处理机组及加湿器排水是否畅通；同时做到加湿系统水过滤器与空气处理机组外围水系统过滤器每个月清洗一次；</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b</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经常检查新风机组除湿机及空气处理机组的加湿器和电加热，及时报告故障以清除工作隐患，从而确保温度与相对湿度的精确调节；对于加湿桶，坚持每个月清洗一次，以防因结垢太多导致电导率下降从而烧毁加湿器；</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c</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每月一次检查空调风柜的电机、风机及皮带（必要时通知更换）与各种执行器的工作情况，并每月为电机和风机的轴承加润滑油；</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d</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每周一次检查空调箱中杀菌灯的工作状况，如发现杀菌灯老化</w:t>
            </w:r>
            <w:r>
              <w:rPr>
                <w:rFonts w:ascii="Calibri" w:hAnsi="Calibri" w:eastAsia="宋体" w:cs="Calibri"/>
                <w:color w:val="000000"/>
                <w:kern w:val="0"/>
                <w:sz w:val="24"/>
              </w:rPr>
              <w:t>/</w:t>
            </w:r>
            <w:r>
              <w:rPr>
                <w:rFonts w:hint="eastAsia" w:ascii="宋体" w:hAnsi="宋体" w:eastAsia="宋体" w:cs="宋体"/>
                <w:color w:val="000000"/>
                <w:kern w:val="0"/>
                <w:sz w:val="24"/>
              </w:rPr>
              <w:t>烧坏，立即通知更换；</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e</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新风机组及循环机组空调箱每季度清洁以确保箱体本身及箱内设备不积尘，并同时进行消毒；</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f</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每月一次检测风机盘管与排气扇的工作电压、电流及有无一场声响，并对封口表面进行清洁；</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电气及自动控制系统的维护与保养</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a</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每天检查记录各运行参数及报警情况，各参数设置是否正确，及控制是否灵敏；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每天检查压差开关与电动风阀执行器的工作情况，发现动作异常即进行相关处理；</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每天检查比例积分阀的工作情况，根据指示灯的显示情况来判断其是否出现故障或能否正常工作；</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每天检查UPS电源的工作指示灯是否正常，大楼停电后是否正常投入，并在再送电后及时复位；</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b</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每周对控制线路进行检测，确保控制的可靠性及灵敏度；</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c</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每月检查主电源及各支路的各相电压、电流，并对电路组件和电线进行检查维护；</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d</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不定时对各种系统保护功能进行检测（例如高压保护、低压保护、过热保护、相序保护等），保证设备的安全运转；</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e</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每季度检查所有的接触器接触是否可靠，检测吸合的瞬间电流，后对各接点进行紧固，确保安全；</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通风系统的维护与洁净参数的检测</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a</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每天监测通风系统各压差开关的工作情况；每月对各级压差开关进行调校，同时检查通风系统的气密性；</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238"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b</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严格按照国家规范的要求，初效过滤器1-2个月更换一次、中效过滤器每3个月更换一次，亚高效过滤器每年更换一次，并同时检查高效过滤器的使用情况（当其终阻力超出设计初阻力160Pa或使用满3年时予以更换）；对于洁净室回风口/排风口过滤器，严格执行每星期清洁一次（对于排风口带活性炭过滤器，每3个月更换一次）；</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c</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每季度一次检测洁净室运行状况，具体包括：温度、相对湿度、换气次数、风速、静压差、洁净度、噪声、照度等，同时对洁净室使用当中存在的问题提出合理化建议；</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维护结构的维保</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Calibri" w:hAnsi="Calibri" w:eastAsia="宋体" w:cs="Calibri"/>
                <w:color w:val="000000"/>
                <w:sz w:val="24"/>
              </w:rPr>
            </w:pPr>
            <w:r>
              <w:rPr>
                <w:rFonts w:hint="eastAsia" w:ascii="宋体" w:hAnsi="宋体" w:eastAsia="宋体" w:cs="宋体"/>
                <w:b/>
                <w:color w:val="000000"/>
                <w:kern w:val="0"/>
                <w:sz w:val="24"/>
              </w:rPr>
              <w:t>a</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每周一次全面检查洁净室门窗开关是否灵活，以及气密是否良好，发现问题及时处理；</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803"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b</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每周一次全面检查天花、墙面与地面有无破损或脱落的地方，发现问题及时修复；</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c</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每周一次检查无菌物品柜、药品柜及器械柜有无破损及关闭不严的地方；发现问题及时解决；</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Layout w:type="fixed"/>
          <w:tblCellMar>
            <w:top w:w="15" w:type="dxa"/>
            <w:left w:w="15" w:type="dxa"/>
            <w:bottom w:w="15" w:type="dxa"/>
            <w:right w:w="15" w:type="dxa"/>
          </w:tblCellMar>
        </w:tblPrEx>
        <w:trPr>
          <w:trHeight w:val="285" w:hRule="atLeast"/>
        </w:trPr>
        <w:tc>
          <w:tcPr>
            <w:tcW w:w="97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b/>
                <w:color w:val="000000"/>
                <w:kern w:val="0"/>
                <w:sz w:val="24"/>
              </w:rPr>
              <w:t>五、服务具体要求</w:t>
            </w:r>
          </w:p>
        </w:tc>
      </w:tr>
      <w:tr>
        <w:tblPrEx>
          <w:tblLayout w:type="fixed"/>
          <w:tblCellMar>
            <w:top w:w="15" w:type="dxa"/>
            <w:left w:w="15" w:type="dxa"/>
            <w:bottom w:w="15" w:type="dxa"/>
            <w:right w:w="15" w:type="dxa"/>
          </w:tblCellMar>
        </w:tblPrEx>
        <w:trPr>
          <w:trHeight w:val="90"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1</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院洁净设备及区域的日常巡查工作；</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2</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全院洁净设备的保养、维护工作；</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3</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全院洁净设备及区域的高效、亚高效、中效、初效过滤器的清洗及更换工作；</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4</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回风滤网清洗或更换工作；</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5</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洁净机房清洁卫生；</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维保时间及地点</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1</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合同期内 24 小时不间断地驻院维护、维修；</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维保人员日常安排</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1</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日间安排不少于 15人参与巡查、维修、过滤器制作及更换工作，工作时间为 8：00-18：00；</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2</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夜间安排不少于 5人值班室，工作时间为 18：00-次日 8：00；</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3</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重大节假日（包括国庆节、春节、五一节、清明节、端午节）</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安排不少于 5人 24 小时值班；</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4</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遇特殊时段（如特别繁忙、特别空闲），双方可协商相应增加或减少维保人员；</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5</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维保人员中须每人持有维修电工证和上岗证；</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6</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维保人员中须不少于 5人有初级以上（含初级）工程师职称或高级技工等级；必须有1人具有高级工程师职称；</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服务须知</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1</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维保人员必须在接到指派电话 15 分钟内赶到维修现场；</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2</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值班时认真负责，勤巡视、勤检查，随时注意控制系统仪表/</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数字变化及其它相关情况，一般以每 2 小时对设备巡视检查一</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次，及时发现问题，及时解决问题；</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3</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一般日常维修工作，维保人员须当天完成。如因配件不到位等</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引起的维修延误问题,则在配件到位后 24 小时内完成维修工作；</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4</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维保人员在从事各项维修任务时，须具备相应岗位的执业证书；</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5</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巡查人员发现洁净系统的问题后，及时向院方提出合理化的建议；</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6</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手术区域过滤器的更换必须全程在该区域无手术及术前准备的前提下进行；</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7</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维保人员有义务保持洁净设备的清洁、设备机房的清洁；</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8</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维保人员对于院方的洁净工程改造项目，须进行协助配合；</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9</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维修配件由院方提供，一般配件由维保方先行招标，院方结算；重大配件由双方协商招标，过滤器由院方购买；</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具体人员配置</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1</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项目总负责人、洁净空调系统及设备维修及保养人员、特种设备人员。</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      要求：项目总负责人具有高级工程师职称，要求所配置的技术支持人员是经过专业培训，取得相关资质的，并熟悉洁净空调系统设备运行情况、设备操作流程和要点，掌握设备运行基本原理，具备有熟练处理紧急故障的经验和能力；</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522"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组织实施计划</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1</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技术人员常驻现场</w:t>
            </w:r>
            <w:r>
              <w:rPr>
                <w:rFonts w:hint="eastAsia" w:ascii="宋体" w:hAnsi="宋体" w:eastAsia="宋体" w:cs="宋体"/>
                <w:color w:val="000000"/>
                <w:kern w:val="0"/>
                <w:sz w:val="24"/>
                <w:u w:val="single"/>
              </w:rPr>
              <w:t>提供</w:t>
            </w:r>
            <w:r>
              <w:rPr>
                <w:rFonts w:hint="eastAsia" w:ascii="宋体" w:hAnsi="宋体" w:eastAsia="宋体" w:cs="宋体"/>
                <w:color w:val="000000"/>
                <w:kern w:val="0"/>
                <w:sz w:val="24"/>
              </w:rPr>
              <w:t xml:space="preserve"> </w:t>
            </w:r>
            <w:r>
              <w:rPr>
                <w:rFonts w:hint="eastAsia" w:ascii="宋体" w:hAnsi="宋体" w:eastAsia="宋体" w:cs="宋体"/>
                <w:color w:val="000000"/>
                <w:kern w:val="0"/>
                <w:sz w:val="24"/>
                <w:u w:val="single"/>
              </w:rPr>
              <w:t>24</w:t>
            </w:r>
            <w:r>
              <w:rPr>
                <w:rFonts w:hint="eastAsia" w:ascii="宋体" w:hAnsi="宋体" w:eastAsia="宋体" w:cs="宋体"/>
                <w:color w:val="000000"/>
                <w:kern w:val="0"/>
                <w:sz w:val="24"/>
              </w:rPr>
              <w:t xml:space="preserve"> </w:t>
            </w:r>
            <w:r>
              <w:rPr>
                <w:rFonts w:hint="eastAsia" w:ascii="宋体" w:hAnsi="宋体" w:eastAsia="宋体" w:cs="宋体"/>
                <w:color w:val="000000"/>
                <w:kern w:val="0"/>
                <w:sz w:val="24"/>
                <w:u w:val="single"/>
              </w:rPr>
              <w:t>小时现场值班服务</w:t>
            </w:r>
            <w:r>
              <w:rPr>
                <w:rFonts w:hint="eastAsia" w:ascii="宋体" w:hAnsi="宋体" w:eastAsia="宋体" w:cs="宋体"/>
                <w:color w:val="000000"/>
                <w:kern w:val="0"/>
                <w:sz w:val="24"/>
              </w:rPr>
              <w:t>，并建立项目主管责任制，严格按照维保要求对净化系统及相关设备进行日常巡检与维护保养及维修工作，并做好各项运行、保养及维修记录。及时更换相关过滤器；</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2</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设立现场值班座机</w:t>
            </w:r>
            <w:r>
              <w:rPr>
                <w:rFonts w:hint="eastAsia" w:ascii="宋体" w:hAnsi="宋体" w:eastAsia="宋体" w:cs="宋体"/>
                <w:color w:val="000000"/>
                <w:kern w:val="0"/>
                <w:sz w:val="24"/>
                <w:u w:val="single"/>
              </w:rPr>
              <w:t>（服务工程师手机</w:t>
            </w:r>
            <w:r>
              <w:rPr>
                <w:rFonts w:hint="eastAsia" w:ascii="宋体" w:hAnsi="宋体" w:eastAsia="宋体" w:cs="宋体"/>
                <w:color w:val="000000"/>
                <w:kern w:val="0"/>
                <w:sz w:val="24"/>
              </w:rPr>
              <w:t xml:space="preserve"> </w:t>
            </w:r>
            <w:r>
              <w:rPr>
                <w:rFonts w:hint="eastAsia" w:ascii="宋体" w:hAnsi="宋体" w:eastAsia="宋体" w:cs="宋体"/>
                <w:color w:val="000000"/>
                <w:kern w:val="0"/>
                <w:sz w:val="24"/>
                <w:u w:val="single"/>
              </w:rPr>
              <w:t>24</w:t>
            </w:r>
            <w:r>
              <w:rPr>
                <w:rFonts w:hint="eastAsia" w:ascii="宋体" w:hAnsi="宋体" w:eastAsia="宋体" w:cs="宋体"/>
                <w:color w:val="000000"/>
                <w:kern w:val="0"/>
                <w:sz w:val="24"/>
              </w:rPr>
              <w:t xml:space="preserve"> </w:t>
            </w:r>
            <w:r>
              <w:rPr>
                <w:rFonts w:hint="eastAsia" w:ascii="宋体" w:hAnsi="宋体" w:eastAsia="宋体" w:cs="宋体"/>
                <w:color w:val="000000"/>
                <w:kern w:val="0"/>
                <w:sz w:val="24"/>
                <w:u w:val="single"/>
              </w:rPr>
              <w:t>小时常开</w:t>
            </w:r>
            <w:r>
              <w:rPr>
                <w:rFonts w:hint="eastAsia" w:ascii="宋体" w:hAnsi="宋体" w:eastAsia="宋体" w:cs="宋体"/>
                <w:color w:val="000000"/>
                <w:kern w:val="0"/>
                <w:sz w:val="24"/>
              </w:rPr>
              <w:t>），科室使用人员发现设备/系统异常时可随即拔打现场值班电话。获知故障信息后紧急响应，并进行快速处理工作；</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3</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维保期内所有设备/系统，现场值班人员将及时作好每次设备/系统的清洗、清洁及维护保养记录；</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4</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根据每次故障维修情况建立技术档案，详细记录设备型号、发生故障时间、故障类型以跟踪维护保养工作的重点与要点，从而更好地改善服务方案；</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5</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5、定期技术服务：每月一次的定期寻访外，派专人组织一次洁净运行情况的检查与设备/系统的深度维护，并同时进行一次洁净指标的检测；</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6</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每个月末，将设备/系统维护保养情况统计及相关参数记录向院方汇报，并拟出下个月维保计划；</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7</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每个月末，将设备/系统维修保养的工作情况召开总结会，回顾本月度服务情况，共商对策，使整个维修保养服务工作日臻完善；</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8</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每个月末，总结经验并找出存在的问题；</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sz w:val="24"/>
              </w:rPr>
              <w:t>维保效果</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1</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洁净室运行管理除了维持洁净室的正常使用功能外，其重点是必须满足洁净室使用的规范要求，即：恒温恒湿、无尘无菌,而合理全面的维保工作不仅使得设备/系统处于良好的运行状态，亦有效地预防了故障的发生；</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应急措施</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1</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使用过程中无论何种原因造成的故障，驻场技术人员接到报修通知后，15 分钟内到达现场处理故障，当暂时无法修复时，则及时采取手动控制，或进行手动调节（如比例积分阀、电动风阀、水力调节阀等），并通过观察及反复调节以使得系统控制误差尽可能减小；</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2</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对于某些无法进行手动控制/调节的故障，应提供相应的配件作应急处理，以确保系统正常运行；</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97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b/>
                <w:color w:val="000000"/>
                <w:sz w:val="24"/>
              </w:rPr>
              <w:t>六、后勤保障</w:t>
            </w:r>
          </w:p>
        </w:tc>
      </w:tr>
      <w:tr>
        <w:tblPrEx>
          <w:tblLayout w:type="fixed"/>
          <w:tblCellMar>
            <w:top w:w="15" w:type="dxa"/>
            <w:left w:w="15" w:type="dxa"/>
            <w:bottom w:w="15" w:type="dxa"/>
            <w:right w:w="15" w:type="dxa"/>
          </w:tblCellMar>
        </w:tblPrEx>
        <w:trPr>
          <w:trHeight w:val="90" w:hRule="atLeast"/>
        </w:trPr>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color w:val="000000"/>
                <w:sz w:val="24"/>
              </w:rPr>
            </w:pPr>
            <w:r>
              <w:rPr>
                <w:rFonts w:hint="eastAsia" w:ascii="宋体" w:hAnsi="宋体" w:eastAsia="宋体" w:cs="宋体"/>
                <w:b/>
                <w:color w:val="000000"/>
                <w:sz w:val="24"/>
              </w:rPr>
              <w:t>办公室</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color w:val="000000"/>
                <w:kern w:val="0"/>
                <w:sz w:val="24"/>
              </w:rPr>
            </w:pPr>
            <w:r>
              <w:rPr>
                <w:rFonts w:hint="eastAsia" w:ascii="宋体" w:hAnsi="宋体" w:eastAsia="宋体" w:cs="宋体"/>
                <w:b/>
                <w:color w:val="000000"/>
                <w:kern w:val="0"/>
                <w:sz w:val="24"/>
              </w:rPr>
              <w:t>1</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t>院方有偿提供办公场地；</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r>
              <w:rPr>
                <w:rFonts w:hint="eastAsia" w:ascii="宋体" w:hAnsi="宋体" w:eastAsia="宋体" w:cs="宋体"/>
                <w:b/>
                <w:color w:val="000000"/>
                <w:sz w:val="24"/>
              </w:rPr>
              <w:t>维保组织</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24"/>
              </w:rPr>
              <w:t>2</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设有公司或分公司，有独立专业的维保队伍；</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r>
              <w:rPr>
                <w:rFonts w:hint="eastAsia" w:ascii="宋体" w:hAnsi="宋体" w:eastAsia="宋体" w:cs="宋体"/>
                <w:b/>
                <w:color w:val="000000"/>
                <w:sz w:val="24"/>
              </w:rPr>
              <w:t>人员配备</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24"/>
              </w:rPr>
              <w:t>3</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维保技术队伍强大，人员充足（30人或以上，需有专业的从业证件）专业过硬；</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r>
              <w:rPr>
                <w:rFonts w:hint="eastAsia" w:ascii="宋体" w:hAnsi="宋体" w:eastAsia="宋体" w:cs="宋体"/>
                <w:b/>
                <w:color w:val="000000"/>
                <w:sz w:val="24"/>
              </w:rPr>
              <w:t>配件仓库</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24"/>
              </w:rPr>
              <w:t>4</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设有配件仓库，保证配件充足、短时间内能解决基本的配件更换工作；</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r>
              <w:rPr>
                <w:rFonts w:hint="eastAsia" w:ascii="宋体" w:hAnsi="宋体" w:eastAsia="宋体" w:cs="宋体"/>
                <w:b/>
                <w:color w:val="000000"/>
                <w:sz w:val="24"/>
              </w:rPr>
              <w:t>维修设备</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24"/>
              </w:rPr>
              <w:t>5</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有配套完善的维修设备及工具，能开展各种故障的维修工作；</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90" w:hRule="atLeast"/>
        </w:trPr>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4"/>
              </w:rPr>
            </w:pPr>
            <w:r>
              <w:rPr>
                <w:rFonts w:hint="eastAsia" w:ascii="宋体" w:hAnsi="宋体" w:eastAsia="宋体" w:cs="宋体"/>
                <w:b/>
                <w:color w:val="000000"/>
                <w:sz w:val="24"/>
              </w:rPr>
              <w:t>检测仪器</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24"/>
              </w:rPr>
              <w:t>6</w:t>
            </w:r>
          </w:p>
        </w:tc>
        <w:tc>
          <w:tcPr>
            <w:tcW w:w="7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kern w:val="0"/>
                <w:sz w:val="24"/>
              </w:rPr>
            </w:pPr>
            <w:r>
              <w:rPr>
                <w:rFonts w:hint="eastAsia" w:ascii="宋体" w:hAnsi="宋体" w:eastAsia="宋体" w:cs="宋体"/>
                <w:color w:val="000000"/>
                <w:kern w:val="0"/>
                <w:sz w:val="24"/>
              </w:rPr>
              <w:t>备有配套的检测仪器，能随时或定期开展空气及设备的检测工作；</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bl>
    <w:p>
      <w:pPr>
        <w:rPr>
          <w:b/>
          <w:bCs/>
          <w:sz w:val="28"/>
          <w:szCs w:val="28"/>
        </w:rPr>
      </w:pPr>
    </w:p>
    <w:p>
      <w:pPr>
        <w:jc w:val="center"/>
        <w:rPr>
          <w:rFonts w:asciiTheme="minorEastAsia" w:hAnsiTheme="minorEastAsia" w:cstheme="minorEastAsia"/>
          <w:b/>
          <w:bCs/>
          <w:sz w:val="18"/>
          <w:szCs w:val="18"/>
        </w:rPr>
      </w:pPr>
    </w:p>
    <w:p>
      <w:pPr>
        <w:jc w:val="center"/>
        <w:rPr>
          <w:rFonts w:asciiTheme="minorEastAsia" w:hAnsiTheme="minorEastAsia" w:cstheme="minorEastAsia"/>
          <w:b/>
          <w:bCs/>
          <w:sz w:val="18"/>
          <w:szCs w:val="18"/>
        </w:rPr>
      </w:pPr>
      <w:r>
        <w:rPr>
          <w:rFonts w:hint="eastAsia" w:asciiTheme="minorEastAsia" w:hAnsiTheme="minorEastAsia" w:cstheme="minorEastAsia"/>
          <w:b/>
          <w:bCs/>
          <w:szCs w:val="21"/>
        </w:rPr>
        <w:t>医院洁净手术室分级标准，洁净手术室的等级标准</w:t>
      </w:r>
    </w:p>
    <w:tbl>
      <w:tblPr>
        <w:tblStyle w:val="7"/>
        <w:tblW w:w="9836" w:type="dxa"/>
        <w:tblCellSpacing w:w="15" w:type="dxa"/>
        <w:tblInd w:w="15" w:type="dxa"/>
        <w:tblBorders>
          <w:top w:val="outset" w:color="B8D100" w:sz="6" w:space="0"/>
          <w:left w:val="outset" w:color="B8D100" w:sz="6" w:space="0"/>
          <w:bottom w:val="outset" w:color="B8D100" w:sz="6" w:space="0"/>
          <w:right w:val="outset" w:color="B8D100" w:sz="6" w:space="0"/>
          <w:insideH w:val="outset" w:color="B8D100" w:sz="6" w:space="0"/>
          <w:insideV w:val="outset" w:color="B8D100" w:sz="6" w:space="0"/>
        </w:tblBorders>
        <w:shd w:val="clear" w:color="auto" w:fill="FFFFFF"/>
        <w:tblLayout w:type="fixed"/>
        <w:tblCellMar>
          <w:top w:w="15" w:type="dxa"/>
          <w:left w:w="15" w:type="dxa"/>
          <w:bottom w:w="15" w:type="dxa"/>
          <w:right w:w="15" w:type="dxa"/>
        </w:tblCellMar>
      </w:tblPr>
      <w:tblGrid>
        <w:gridCol w:w="734"/>
        <w:gridCol w:w="1677"/>
        <w:gridCol w:w="1557"/>
        <w:gridCol w:w="2126"/>
        <w:gridCol w:w="1746"/>
        <w:gridCol w:w="1084"/>
        <w:gridCol w:w="912"/>
      </w:tblGrid>
      <w:tr>
        <w:tblPrEx>
          <w:tblBorders>
            <w:top w:val="outset" w:color="B8D100" w:sz="6" w:space="0"/>
            <w:left w:val="outset" w:color="B8D100" w:sz="6" w:space="0"/>
            <w:bottom w:val="outset" w:color="B8D100" w:sz="6" w:space="0"/>
            <w:right w:val="outset" w:color="B8D100" w:sz="6" w:space="0"/>
            <w:insideH w:val="outset" w:color="B8D100" w:sz="6" w:space="0"/>
            <w:insideV w:val="outset" w:color="B8D100" w:sz="6" w:space="0"/>
          </w:tblBorders>
          <w:shd w:val="clear" w:color="auto" w:fill="FFFFFF"/>
          <w:tblLayout w:type="fixed"/>
          <w:tblCellMar>
            <w:top w:w="15" w:type="dxa"/>
            <w:left w:w="15" w:type="dxa"/>
            <w:bottom w:w="15" w:type="dxa"/>
            <w:right w:w="15" w:type="dxa"/>
          </w:tblCellMar>
        </w:tblPrEx>
        <w:trPr>
          <w:trHeight w:val="789" w:hRule="atLeast"/>
          <w:tblCellSpacing w:w="15" w:type="dxa"/>
        </w:trPr>
        <w:tc>
          <w:tcPr>
            <w:tcW w:w="689" w:type="dxa"/>
            <w:vMerge w:val="restart"/>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等级</w:t>
            </w:r>
          </w:p>
        </w:tc>
        <w:tc>
          <w:tcPr>
            <w:tcW w:w="1647" w:type="dxa"/>
            <w:vMerge w:val="restart"/>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手术室名称</w:t>
            </w:r>
          </w:p>
        </w:tc>
        <w:tc>
          <w:tcPr>
            <w:tcW w:w="3653" w:type="dxa"/>
            <w:gridSpan w:val="2"/>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沉降法（浮游法）细菌最大平均浓度</w:t>
            </w:r>
          </w:p>
        </w:tc>
        <w:tc>
          <w:tcPr>
            <w:tcW w:w="1716"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表面最大染菌密度</w:t>
            </w:r>
          </w:p>
          <w:p>
            <w:pPr>
              <w:rPr>
                <w:rFonts w:asciiTheme="minorEastAsia" w:hAnsiTheme="minorEastAsia" w:cstheme="minorEastAsia"/>
                <w:sz w:val="18"/>
                <w:szCs w:val="18"/>
              </w:rPr>
            </w:pPr>
            <w:r>
              <w:rPr>
                <w:rFonts w:hint="eastAsia" w:asciiTheme="minorEastAsia" w:hAnsiTheme="minorEastAsia" w:cstheme="minorEastAsia"/>
                <w:sz w:val="18"/>
                <w:szCs w:val="18"/>
              </w:rPr>
              <w:t>（个/cm3）</w:t>
            </w:r>
          </w:p>
        </w:tc>
        <w:tc>
          <w:tcPr>
            <w:tcW w:w="1951" w:type="dxa"/>
            <w:gridSpan w:val="2"/>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空气洁净度级别</w:t>
            </w:r>
          </w:p>
        </w:tc>
      </w:tr>
      <w:tr>
        <w:tblPrEx>
          <w:tblBorders>
            <w:top w:val="outset" w:color="B8D100" w:sz="6" w:space="0"/>
            <w:left w:val="outset" w:color="B8D100" w:sz="6" w:space="0"/>
            <w:bottom w:val="outset" w:color="B8D100" w:sz="6" w:space="0"/>
            <w:right w:val="outset" w:color="B8D100" w:sz="6" w:space="0"/>
            <w:insideH w:val="outset" w:color="B8D100" w:sz="6" w:space="0"/>
            <w:insideV w:val="outset" w:color="B8D100" w:sz="6" w:space="0"/>
          </w:tblBorders>
          <w:tblLayout w:type="fixed"/>
          <w:tblCellMar>
            <w:top w:w="15" w:type="dxa"/>
            <w:left w:w="15" w:type="dxa"/>
            <w:bottom w:w="15" w:type="dxa"/>
            <w:right w:w="15" w:type="dxa"/>
          </w:tblCellMar>
        </w:tblPrEx>
        <w:trPr>
          <w:tblCellSpacing w:w="15" w:type="dxa"/>
        </w:trPr>
        <w:tc>
          <w:tcPr>
            <w:tcW w:w="689" w:type="dxa"/>
            <w:vMerge w:val="continue"/>
            <w:shd w:val="clear" w:color="auto" w:fill="FFFFFF"/>
            <w:vAlign w:val="center"/>
          </w:tcPr>
          <w:p>
            <w:pPr>
              <w:rPr>
                <w:rFonts w:asciiTheme="minorEastAsia" w:hAnsiTheme="minorEastAsia" w:cstheme="minorEastAsia"/>
                <w:sz w:val="18"/>
                <w:szCs w:val="18"/>
              </w:rPr>
            </w:pPr>
          </w:p>
        </w:tc>
        <w:tc>
          <w:tcPr>
            <w:tcW w:w="1647" w:type="dxa"/>
            <w:vMerge w:val="continue"/>
            <w:shd w:val="clear" w:color="auto" w:fill="FFFFFF"/>
            <w:vAlign w:val="center"/>
          </w:tcPr>
          <w:p>
            <w:pPr>
              <w:rPr>
                <w:rFonts w:asciiTheme="minorEastAsia" w:hAnsiTheme="minorEastAsia" w:cstheme="minorEastAsia"/>
                <w:sz w:val="18"/>
                <w:szCs w:val="18"/>
              </w:rPr>
            </w:pPr>
          </w:p>
        </w:tc>
        <w:tc>
          <w:tcPr>
            <w:tcW w:w="1527"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手术区</w:t>
            </w:r>
          </w:p>
        </w:tc>
        <w:tc>
          <w:tcPr>
            <w:tcW w:w="2096"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周边区</w:t>
            </w:r>
          </w:p>
        </w:tc>
        <w:tc>
          <w:tcPr>
            <w:tcW w:w="1716"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 </w:t>
            </w:r>
          </w:p>
        </w:tc>
        <w:tc>
          <w:tcPr>
            <w:tcW w:w="1054"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手术区</w:t>
            </w:r>
          </w:p>
        </w:tc>
        <w:tc>
          <w:tcPr>
            <w:tcW w:w="867"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周边区</w:t>
            </w:r>
          </w:p>
        </w:tc>
      </w:tr>
      <w:tr>
        <w:tblPrEx>
          <w:tblBorders>
            <w:top w:val="outset" w:color="B8D100" w:sz="6" w:space="0"/>
            <w:left w:val="outset" w:color="B8D100" w:sz="6" w:space="0"/>
            <w:bottom w:val="outset" w:color="B8D100" w:sz="6" w:space="0"/>
            <w:right w:val="outset" w:color="B8D100" w:sz="6" w:space="0"/>
            <w:insideH w:val="outset" w:color="B8D100" w:sz="6" w:space="0"/>
            <w:insideV w:val="outset" w:color="B8D100" w:sz="6" w:space="0"/>
          </w:tblBorders>
          <w:tblLayout w:type="fixed"/>
          <w:tblCellMar>
            <w:top w:w="15" w:type="dxa"/>
            <w:left w:w="15" w:type="dxa"/>
            <w:bottom w:w="15" w:type="dxa"/>
            <w:right w:w="15" w:type="dxa"/>
          </w:tblCellMar>
        </w:tblPrEx>
        <w:trPr>
          <w:trHeight w:val="191" w:hRule="atLeast"/>
          <w:tblCellSpacing w:w="15" w:type="dxa"/>
        </w:trPr>
        <w:tc>
          <w:tcPr>
            <w:tcW w:w="689"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Ⅰ</w:t>
            </w:r>
          </w:p>
        </w:tc>
        <w:tc>
          <w:tcPr>
            <w:tcW w:w="1647"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特别洁净手术室</w:t>
            </w:r>
          </w:p>
        </w:tc>
        <w:tc>
          <w:tcPr>
            <w:tcW w:w="1527"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0.2个/30min ·φ90皿（5个/m3）</w:t>
            </w:r>
          </w:p>
        </w:tc>
        <w:tc>
          <w:tcPr>
            <w:tcW w:w="2096"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0.4个/30min ·φ90皿（10个/m3）</w:t>
            </w:r>
          </w:p>
        </w:tc>
        <w:tc>
          <w:tcPr>
            <w:tcW w:w="1716"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5</w:t>
            </w:r>
          </w:p>
        </w:tc>
        <w:tc>
          <w:tcPr>
            <w:tcW w:w="1054"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100级</w:t>
            </w:r>
          </w:p>
        </w:tc>
        <w:tc>
          <w:tcPr>
            <w:tcW w:w="867"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1000级</w:t>
            </w:r>
          </w:p>
        </w:tc>
      </w:tr>
      <w:tr>
        <w:tblPrEx>
          <w:tblBorders>
            <w:top w:val="outset" w:color="B8D100" w:sz="6" w:space="0"/>
            <w:left w:val="outset" w:color="B8D100" w:sz="6" w:space="0"/>
            <w:bottom w:val="outset" w:color="B8D100" w:sz="6" w:space="0"/>
            <w:right w:val="outset" w:color="B8D100" w:sz="6" w:space="0"/>
            <w:insideH w:val="outset" w:color="B8D100" w:sz="6" w:space="0"/>
            <w:insideV w:val="outset" w:color="B8D100" w:sz="6" w:space="0"/>
          </w:tblBorders>
          <w:tblLayout w:type="fixed"/>
          <w:tblCellMar>
            <w:top w:w="15" w:type="dxa"/>
            <w:left w:w="15" w:type="dxa"/>
            <w:bottom w:w="15" w:type="dxa"/>
            <w:right w:w="15" w:type="dxa"/>
          </w:tblCellMar>
        </w:tblPrEx>
        <w:trPr>
          <w:trHeight w:val="198" w:hRule="atLeast"/>
          <w:tblCellSpacing w:w="15" w:type="dxa"/>
        </w:trPr>
        <w:tc>
          <w:tcPr>
            <w:tcW w:w="689"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Ⅱ</w:t>
            </w:r>
          </w:p>
        </w:tc>
        <w:tc>
          <w:tcPr>
            <w:tcW w:w="1647"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标准洁净手术室</w:t>
            </w:r>
          </w:p>
        </w:tc>
        <w:tc>
          <w:tcPr>
            <w:tcW w:w="1527"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0.75个/30min ·φ90皿（25个/m3）</w:t>
            </w:r>
          </w:p>
        </w:tc>
        <w:tc>
          <w:tcPr>
            <w:tcW w:w="2096"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1.5个/30min ·φ90皿（50个/m3）</w:t>
            </w:r>
          </w:p>
        </w:tc>
        <w:tc>
          <w:tcPr>
            <w:tcW w:w="1716"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5</w:t>
            </w:r>
          </w:p>
        </w:tc>
        <w:tc>
          <w:tcPr>
            <w:tcW w:w="1054"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1000级</w:t>
            </w:r>
          </w:p>
        </w:tc>
        <w:tc>
          <w:tcPr>
            <w:tcW w:w="867"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10000级</w:t>
            </w:r>
          </w:p>
        </w:tc>
      </w:tr>
      <w:tr>
        <w:tblPrEx>
          <w:tblBorders>
            <w:top w:val="outset" w:color="B8D100" w:sz="6" w:space="0"/>
            <w:left w:val="outset" w:color="B8D100" w:sz="6" w:space="0"/>
            <w:bottom w:val="outset" w:color="B8D100" w:sz="6" w:space="0"/>
            <w:right w:val="outset" w:color="B8D100" w:sz="6" w:space="0"/>
            <w:insideH w:val="outset" w:color="B8D100" w:sz="6" w:space="0"/>
            <w:insideV w:val="outset" w:color="B8D100" w:sz="6" w:space="0"/>
          </w:tblBorders>
          <w:tblLayout w:type="fixed"/>
          <w:tblCellMar>
            <w:top w:w="15" w:type="dxa"/>
            <w:left w:w="15" w:type="dxa"/>
            <w:bottom w:w="15" w:type="dxa"/>
            <w:right w:w="15" w:type="dxa"/>
          </w:tblCellMar>
        </w:tblPrEx>
        <w:trPr>
          <w:tblCellSpacing w:w="15" w:type="dxa"/>
        </w:trPr>
        <w:tc>
          <w:tcPr>
            <w:tcW w:w="689"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Ⅲ</w:t>
            </w:r>
          </w:p>
        </w:tc>
        <w:tc>
          <w:tcPr>
            <w:tcW w:w="1647"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一般洁净手术室</w:t>
            </w:r>
          </w:p>
        </w:tc>
        <w:tc>
          <w:tcPr>
            <w:tcW w:w="1527"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2个/30min ·φ90皿（75个/m3）</w:t>
            </w:r>
          </w:p>
        </w:tc>
        <w:tc>
          <w:tcPr>
            <w:tcW w:w="2096"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4个/30min ·φ90皿（150个/m3）</w:t>
            </w:r>
          </w:p>
        </w:tc>
        <w:tc>
          <w:tcPr>
            <w:tcW w:w="1716"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5</w:t>
            </w:r>
          </w:p>
        </w:tc>
        <w:tc>
          <w:tcPr>
            <w:tcW w:w="1054"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10000级</w:t>
            </w:r>
          </w:p>
        </w:tc>
        <w:tc>
          <w:tcPr>
            <w:tcW w:w="867"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100000级</w:t>
            </w:r>
          </w:p>
        </w:tc>
      </w:tr>
      <w:tr>
        <w:tblPrEx>
          <w:tblBorders>
            <w:top w:val="outset" w:color="B8D100" w:sz="6" w:space="0"/>
            <w:left w:val="outset" w:color="B8D100" w:sz="6" w:space="0"/>
            <w:bottom w:val="outset" w:color="B8D100" w:sz="6" w:space="0"/>
            <w:right w:val="outset" w:color="B8D100" w:sz="6" w:space="0"/>
            <w:insideH w:val="outset" w:color="B8D100" w:sz="6" w:space="0"/>
            <w:insideV w:val="outset" w:color="B8D100" w:sz="6" w:space="0"/>
          </w:tblBorders>
          <w:tblLayout w:type="fixed"/>
          <w:tblCellMar>
            <w:top w:w="15" w:type="dxa"/>
            <w:left w:w="15" w:type="dxa"/>
            <w:bottom w:w="15" w:type="dxa"/>
            <w:right w:w="15" w:type="dxa"/>
          </w:tblCellMar>
        </w:tblPrEx>
        <w:trPr>
          <w:tblCellSpacing w:w="15" w:type="dxa"/>
        </w:trPr>
        <w:tc>
          <w:tcPr>
            <w:tcW w:w="689"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Ⅳ</w:t>
            </w:r>
          </w:p>
        </w:tc>
        <w:tc>
          <w:tcPr>
            <w:tcW w:w="1647"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准洁净手术室</w:t>
            </w:r>
          </w:p>
        </w:tc>
        <w:tc>
          <w:tcPr>
            <w:tcW w:w="3653" w:type="dxa"/>
            <w:gridSpan w:val="2"/>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5个/30min·φ90皿（175个/m3）</w:t>
            </w:r>
          </w:p>
        </w:tc>
        <w:tc>
          <w:tcPr>
            <w:tcW w:w="1716" w:type="dxa"/>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5</w:t>
            </w:r>
          </w:p>
        </w:tc>
        <w:tc>
          <w:tcPr>
            <w:tcW w:w="1951" w:type="dxa"/>
            <w:gridSpan w:val="2"/>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300000级</w:t>
            </w:r>
          </w:p>
        </w:tc>
      </w:tr>
      <w:tr>
        <w:tblPrEx>
          <w:tblBorders>
            <w:top w:val="outset" w:color="B8D100" w:sz="6" w:space="0"/>
            <w:left w:val="outset" w:color="B8D100" w:sz="6" w:space="0"/>
            <w:bottom w:val="outset" w:color="B8D100" w:sz="6" w:space="0"/>
            <w:right w:val="outset" w:color="B8D100" w:sz="6" w:space="0"/>
            <w:insideH w:val="outset" w:color="B8D100" w:sz="6" w:space="0"/>
            <w:insideV w:val="outset" w:color="B8D100" w:sz="6" w:space="0"/>
          </w:tblBorders>
          <w:tblLayout w:type="fixed"/>
          <w:tblCellMar>
            <w:top w:w="15" w:type="dxa"/>
            <w:left w:w="15" w:type="dxa"/>
            <w:bottom w:w="15" w:type="dxa"/>
            <w:right w:w="15" w:type="dxa"/>
          </w:tblCellMar>
        </w:tblPrEx>
        <w:trPr>
          <w:trHeight w:val="1149" w:hRule="atLeast"/>
          <w:tblCellSpacing w:w="15" w:type="dxa"/>
        </w:trPr>
        <w:tc>
          <w:tcPr>
            <w:tcW w:w="9776" w:type="dxa"/>
            <w:gridSpan w:val="7"/>
            <w:shd w:val="clear" w:color="auto" w:fill="FFFFFF"/>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注：1、浮游法的细菌最大平均浓度采用括号数值。细菌浓度是直接所测的结果，不是沉降法和浮游法互相换算的结果。</w:t>
            </w:r>
          </w:p>
          <w:p>
            <w:pPr>
              <w:rPr>
                <w:rFonts w:asciiTheme="minorEastAsia" w:hAnsiTheme="minorEastAsia" w:cstheme="minorEastAsia"/>
                <w:sz w:val="18"/>
                <w:szCs w:val="18"/>
              </w:rPr>
            </w:pPr>
            <w:r>
              <w:rPr>
                <w:rFonts w:hint="eastAsia" w:asciiTheme="minorEastAsia" w:hAnsiTheme="minorEastAsia" w:cstheme="minorEastAsia"/>
                <w:sz w:val="18"/>
                <w:szCs w:val="18"/>
              </w:rPr>
              <w:t>      2、适用手术提示</w:t>
            </w:r>
          </w:p>
          <w:p>
            <w:pPr>
              <w:rPr>
                <w:rFonts w:asciiTheme="minorEastAsia" w:hAnsiTheme="minorEastAsia" w:cstheme="minorEastAsia"/>
                <w:sz w:val="18"/>
                <w:szCs w:val="18"/>
              </w:rPr>
            </w:pPr>
            <w:r>
              <w:rPr>
                <w:rFonts w:hint="eastAsia" w:asciiTheme="minorEastAsia" w:hAnsiTheme="minorEastAsia" w:cstheme="minorEastAsia"/>
                <w:sz w:val="18"/>
                <w:szCs w:val="18"/>
              </w:rPr>
              <w:t>Ⅰ级 关节置换手术，器官移植手术及脑外科、心脏外科和眼科等手术室中的无菌手术。</w:t>
            </w:r>
          </w:p>
          <w:p>
            <w:pPr>
              <w:rPr>
                <w:rFonts w:asciiTheme="minorEastAsia" w:hAnsiTheme="minorEastAsia" w:cstheme="minorEastAsia"/>
                <w:sz w:val="18"/>
                <w:szCs w:val="18"/>
              </w:rPr>
            </w:pPr>
            <w:r>
              <w:rPr>
                <w:rFonts w:hint="eastAsia" w:asciiTheme="minorEastAsia" w:hAnsiTheme="minorEastAsia" w:cstheme="minorEastAsia"/>
                <w:sz w:val="18"/>
                <w:szCs w:val="18"/>
              </w:rPr>
              <w:t>Ⅱ级 脑外科、整形外科、泌尿外科、肝胆胰外科、骨外科以及普通外科中的Ⅰ类切口无菌手术</w:t>
            </w:r>
          </w:p>
          <w:p>
            <w:pPr>
              <w:rPr>
                <w:rFonts w:asciiTheme="minorEastAsia" w:hAnsiTheme="minorEastAsia" w:cstheme="minorEastAsia"/>
                <w:sz w:val="18"/>
                <w:szCs w:val="18"/>
              </w:rPr>
            </w:pPr>
            <w:r>
              <w:rPr>
                <w:rFonts w:hint="eastAsia" w:asciiTheme="minorEastAsia" w:hAnsiTheme="minorEastAsia" w:cstheme="minorEastAsia"/>
                <w:sz w:val="18"/>
                <w:szCs w:val="18"/>
              </w:rPr>
              <w:t>Ⅲ级 普通外科（除去Ⅰ类切口手术）、妇产科等手术</w:t>
            </w:r>
          </w:p>
          <w:p>
            <w:pPr>
              <w:rPr>
                <w:rFonts w:asciiTheme="minorEastAsia" w:hAnsiTheme="minorEastAsia" w:cstheme="minorEastAsia"/>
                <w:sz w:val="18"/>
                <w:szCs w:val="18"/>
              </w:rPr>
            </w:pPr>
            <w:r>
              <w:rPr>
                <w:rFonts w:hint="eastAsia" w:asciiTheme="minorEastAsia" w:hAnsiTheme="minorEastAsia" w:cstheme="minorEastAsia"/>
                <w:sz w:val="18"/>
                <w:szCs w:val="18"/>
              </w:rPr>
              <w:t>Ⅳ级 肛肠外科等手术</w:t>
            </w:r>
          </w:p>
        </w:tc>
      </w:tr>
    </w:tbl>
    <w:p>
      <w:pPr>
        <w:pStyle w:val="5"/>
        <w:widowControl/>
        <w:spacing w:before="120" w:beforeAutospacing="0" w:after="0" w:afterAutospacing="0" w:line="302" w:lineRule="atLeast"/>
        <w:rPr>
          <w:rFonts w:asciiTheme="minorEastAsia" w:hAnsiTheme="minorEastAsia" w:cstheme="minorEastAsia"/>
          <w:sz w:val="18"/>
          <w:szCs w:val="18"/>
        </w:rPr>
      </w:pPr>
    </w:p>
    <w:p>
      <w:pPr>
        <w:pStyle w:val="5"/>
        <w:widowControl/>
        <w:spacing w:before="120" w:beforeAutospacing="0" w:after="0" w:afterAutospacing="0" w:line="302" w:lineRule="atLeast"/>
        <w:rPr>
          <w:rFonts w:asciiTheme="minorEastAsia" w:hAnsiTheme="minorEastAsia" w:cstheme="minorEastAsia"/>
          <w:sz w:val="18"/>
          <w:szCs w:val="18"/>
        </w:rPr>
      </w:pPr>
      <w:r>
        <w:rPr>
          <w:rFonts w:hint="eastAsia" w:asciiTheme="minorEastAsia" w:hAnsiTheme="minorEastAsia" w:cstheme="minorEastAsia"/>
          <w:sz w:val="18"/>
          <w:szCs w:val="18"/>
        </w:rPr>
        <w:t>注：国家对医院各等级（三甲、二甲等）需要的洁净手术室数量没有明确规定，基本上是二十五个床位对应一间手术室。</w:t>
      </w:r>
    </w:p>
    <w:p>
      <w:pPr>
        <w:spacing w:line="0" w:lineRule="atLeast"/>
        <w:rPr>
          <w:rFonts w:ascii="宋体" w:hAnsi="宋体" w:cs="宋体"/>
          <w:sz w:val="28"/>
          <w:szCs w:val="28"/>
        </w:rPr>
      </w:pPr>
    </w:p>
    <w:p>
      <w:pPr>
        <w:spacing w:line="0" w:lineRule="atLeast"/>
      </w:pPr>
      <w:r>
        <w:rPr>
          <w:rFonts w:ascii="宋体" w:hAnsi="宋体" w:cs="宋体"/>
          <w:sz w:val="24"/>
        </w:rPr>
        <w:fldChar w:fldCharType="begin"/>
      </w:r>
      <w:r>
        <w:rPr>
          <w:rFonts w:ascii="宋体" w:hAnsi="宋体" w:cs="宋体"/>
          <w:sz w:val="24"/>
        </w:rPr>
        <w:instrText xml:space="preserve">INCLUDEPICTURE \d "http://i01.yizimg.com/ComFolder/471645//201106/%E6%89%8B%E6%9C%AF%E5%AE%A4%E7%A9%BA%E6%B0%94%E6%B4%81%E5%87%80%E5%BA%A6%E7%AD%89%E7%BA%A7%E6%A0%87%E5%87%86.jpg" \* MERGEFORMATINET </w:instrText>
      </w:r>
      <w:r>
        <w:rPr>
          <w:rFonts w:ascii="宋体" w:hAnsi="宋体" w:cs="宋体"/>
          <w:sz w:val="24"/>
        </w:rPr>
        <w:fldChar w:fldCharType="separate"/>
      </w:r>
      <w:r>
        <w:rPr>
          <w:rFonts w:ascii="宋体" w:hAnsi="宋体" w:cs="宋体"/>
          <w:sz w:val="24"/>
        </w:rPr>
        <w:drawing>
          <wp:inline distT="0" distB="0" distL="114300" distR="114300">
            <wp:extent cx="6007735" cy="3825240"/>
            <wp:effectExtent l="0" t="0" r="12065" b="381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5" cstate="print"/>
                    <a:stretch>
                      <a:fillRect/>
                    </a:stretch>
                  </pic:blipFill>
                  <pic:spPr>
                    <a:xfrm>
                      <a:off x="0" y="0"/>
                      <a:ext cx="6007735" cy="3825240"/>
                    </a:xfrm>
                    <a:prstGeom prst="rect">
                      <a:avLst/>
                    </a:prstGeom>
                    <a:noFill/>
                    <a:ln w="9525">
                      <a:noFill/>
                    </a:ln>
                  </pic:spPr>
                </pic:pic>
              </a:graphicData>
            </a:graphic>
          </wp:inline>
        </w:drawing>
      </w:r>
      <w:r>
        <w:rPr>
          <w:rFonts w:ascii="宋体" w:hAnsi="宋体" w:cs="宋体"/>
          <w:sz w:val="24"/>
        </w:rPr>
        <w:fldChar w:fldCharType="end"/>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Arial Rounded MT Bold"/>
    <w:panose1 w:val="020F0502020204030204"/>
    <w:charset w:val="00"/>
    <w:family w:val="swiss"/>
    <w:pitch w:val="default"/>
    <w:sig w:usb0="00000000" w:usb1="00000000" w:usb2="00000001" w:usb3="00000000" w:csb0="0000019F" w:csb1="00000000"/>
  </w:font>
  <w:font w:name="Shruti">
    <w:panose1 w:val="02000500000000000000"/>
    <w:charset w:val="00"/>
    <w:family w:val="auto"/>
    <w:pitch w:val="default"/>
    <w:sig w:usb0="00040000" w:usb1="00000000" w:usb2="00000000" w:usb3="00000000" w:csb0="00000000" w:csb1="00000000"/>
  </w:font>
  <w:font w:name="Arial Rounded MT Bold">
    <w:panose1 w:val="020F0704030504030204"/>
    <w:charset w:val="00"/>
    <w:family w:val="auto"/>
    <w:pitch w:val="default"/>
    <w:sig w:usb0="00000003" w:usb1="00000000" w:usb2="00000000" w:usb3="00000000" w:csb0="20000001" w:csb1="00000000"/>
  </w:font>
  <w:font w:name="font-weight : 400">
    <w:altName w:val="Latha"/>
    <w:panose1 w:val="00000000000000000000"/>
    <w:charset w:val="00"/>
    <w:family w:val="auto"/>
    <w:pitch w:val="default"/>
    <w:sig w:usb0="00000000" w:usb1="00000000" w:usb2="00000000" w:usb3="00000000" w:csb0="00000000" w:csb1="00000000"/>
  </w:font>
  <w:font w:name="Calibri Light">
    <w:altName w:val="Latha"/>
    <w:panose1 w:val="020F0302020204030204"/>
    <w:charset w:val="00"/>
    <w:family w:val="swiss"/>
    <w:pitch w:val="default"/>
    <w:sig w:usb0="00000000" w:usb1="00000000" w:usb2="00000000" w:usb3="00000000" w:csb0="0000019F" w:csb1="00000000"/>
  </w:font>
  <w:font w:name="Latha">
    <w:panose1 w:val="02000400000000000000"/>
    <w:charset w:val="00"/>
    <w:family w:val="auto"/>
    <w:pitch w:val="default"/>
    <w:sig w:usb0="001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8A149A4"/>
    <w:rsid w:val="001757D2"/>
    <w:rsid w:val="004D075B"/>
    <w:rsid w:val="005D19F0"/>
    <w:rsid w:val="00ED152D"/>
    <w:rsid w:val="015060A1"/>
    <w:rsid w:val="059F7125"/>
    <w:rsid w:val="0DFC2FE0"/>
    <w:rsid w:val="0E232BC3"/>
    <w:rsid w:val="3A04532C"/>
    <w:rsid w:val="402F78A6"/>
    <w:rsid w:val="487F7AC0"/>
    <w:rsid w:val="58A149A4"/>
    <w:rsid w:val="6D535020"/>
    <w:rsid w:val="73A81A72"/>
    <w:rsid w:val="77606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jc w:val="left"/>
    </w:pPr>
    <w:rPr>
      <w:rFonts w:cs="Times New Roman"/>
      <w:kern w:val="0"/>
      <w:sz w:val="24"/>
    </w:rPr>
  </w:style>
  <w:style w:type="character" w:customStyle="1" w:styleId="8">
    <w:name w:val="font31"/>
    <w:basedOn w:val="6"/>
    <w:qFormat/>
    <w:uiPriority w:val="0"/>
    <w:rPr>
      <w:rFonts w:ascii="Calibri" w:hAnsi="Calibri" w:cs="Calibri"/>
      <w:color w:val="000000"/>
      <w:sz w:val="24"/>
      <w:szCs w:val="24"/>
      <w:u w:val="none"/>
    </w:rPr>
  </w:style>
  <w:style w:type="character" w:customStyle="1" w:styleId="9">
    <w:name w:val="font11"/>
    <w:basedOn w:val="6"/>
    <w:qFormat/>
    <w:uiPriority w:val="0"/>
    <w:rPr>
      <w:rFonts w:hint="eastAsia" w:ascii="宋体" w:hAnsi="宋体" w:eastAsia="宋体" w:cs="宋体"/>
      <w:color w:val="000000"/>
      <w:sz w:val="24"/>
      <w:szCs w:val="24"/>
      <w:u w:val="single"/>
    </w:rPr>
  </w:style>
  <w:style w:type="character" w:customStyle="1" w:styleId="10">
    <w:name w:val="font61"/>
    <w:basedOn w:val="6"/>
    <w:qFormat/>
    <w:uiPriority w:val="0"/>
    <w:rPr>
      <w:rFonts w:hint="eastAsia" w:ascii="宋体" w:hAnsi="宋体" w:eastAsia="宋体" w:cs="宋体"/>
      <w:color w:val="000000"/>
      <w:sz w:val="24"/>
      <w:szCs w:val="24"/>
      <w:u w:val="none"/>
    </w:rPr>
  </w:style>
  <w:style w:type="character" w:customStyle="1" w:styleId="11">
    <w:name w:val="font71"/>
    <w:basedOn w:val="6"/>
    <w:qFormat/>
    <w:uiPriority w:val="0"/>
    <w:rPr>
      <w:rFonts w:hint="eastAsia" w:ascii="宋体" w:hAnsi="宋体" w:eastAsia="宋体" w:cs="宋体"/>
      <w:color w:val="000000"/>
      <w:sz w:val="24"/>
      <w:szCs w:val="24"/>
      <w:u w:val="none"/>
    </w:rPr>
  </w:style>
  <w:style w:type="character" w:customStyle="1" w:styleId="12">
    <w:name w:val="font81"/>
    <w:basedOn w:val="6"/>
    <w:qFormat/>
    <w:uiPriority w:val="0"/>
    <w:rPr>
      <w:rFonts w:ascii="font-weight : 400" w:hAnsi="font-weight : 400" w:eastAsia="font-weight : 400" w:cs="font-weight : 400"/>
      <w:color w:val="000000"/>
      <w:sz w:val="24"/>
      <w:szCs w:val="24"/>
      <w:u w:val="none"/>
    </w:rPr>
  </w:style>
  <w:style w:type="character" w:customStyle="1" w:styleId="13">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6</Pages>
  <Words>782</Words>
  <Characters>4461</Characters>
  <Lines>37</Lines>
  <Paragraphs>10</Paragraphs>
  <ScaleCrop>false</ScaleCrop>
  <LinksUpToDate>false</LinksUpToDate>
  <CharactersWithSpaces>5233</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2018-03-28T02:59:00Z</dcterms:created>
  <dc:creator>小蝎</dc:creator>
  <cp:lastModifiedBy>Administrator</cp:lastModifiedBy>
  <cp:lastPrinted>2018-03-30T02:04:00Z</cp:lastPrinted>
  <dcterms:modified xsi:type="dcterms:W3CDTF">2018-04-03T07:43:04Z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